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72" w:rsidRDefault="00E87427">
      <w:pPr>
        <w:pStyle w:val="Body"/>
        <w:rPr>
          <w:b/>
          <w:bCs/>
        </w:rPr>
      </w:pPr>
      <w:r>
        <w:rPr>
          <w:b/>
          <w:bCs/>
        </w:rPr>
        <w:t>Landscape Institute</w:t>
      </w:r>
    </w:p>
    <w:p w:rsidR="00806C72" w:rsidRDefault="00E87427">
      <w:pPr>
        <w:pStyle w:val="Body"/>
        <w:rPr>
          <w:b/>
          <w:bCs/>
        </w:rPr>
      </w:pPr>
      <w:r>
        <w:rPr>
          <w:b/>
          <w:bCs/>
        </w:rPr>
        <w:t>Education and Membership committee:</w:t>
      </w:r>
      <w:r>
        <w:rPr>
          <w:b/>
          <w:bCs/>
        </w:rPr>
        <w:br/>
      </w:r>
      <w:r>
        <w:rPr>
          <w:b/>
          <w:bCs/>
        </w:rPr>
        <w:t>Member Panel (Chartership Assessment Panel)</w:t>
      </w:r>
    </w:p>
    <w:p w:rsidR="00806C72" w:rsidRDefault="00E87427">
      <w:pPr>
        <w:pStyle w:val="Body"/>
        <w:rPr>
          <w:b/>
          <w:bCs/>
        </w:rPr>
      </w:pPr>
      <w:r>
        <w:rPr>
          <w:b/>
          <w:bCs/>
        </w:rPr>
        <w:br/>
      </w:r>
    </w:p>
    <w:p w:rsidR="00806C72" w:rsidRDefault="00E87427">
      <w:pPr>
        <w:pStyle w:val="Body"/>
      </w:pPr>
      <w:r>
        <w:t xml:space="preserve">The Chartership Assessment Panel (CAP) is part of the LI’s Member Panel, which in turn reports to the Education and Membership Committee (EMC).  CAP </w:t>
      </w:r>
      <w:r>
        <w:t xml:space="preserve">provides expertise and advice on all issues relating to applications made for admission to Chartered membership, either </w:t>
      </w:r>
      <w:r w:rsidR="006039B2">
        <w:t xml:space="preserve">directly </w:t>
      </w:r>
      <w:r w:rsidR="006039B2">
        <w:t>as a Chartered (or equivalent) member of another country</w:t>
      </w:r>
      <w:r w:rsidR="006039B2">
        <w:t xml:space="preserve"> or to sit the professional interview </w:t>
      </w:r>
      <w:r>
        <w:t>via the Experienced Practitioner route</w:t>
      </w:r>
      <w:r>
        <w:t>.</w:t>
      </w:r>
    </w:p>
    <w:p w:rsidR="00806C72" w:rsidRDefault="00806C72">
      <w:pPr>
        <w:pStyle w:val="Body"/>
      </w:pPr>
    </w:p>
    <w:p w:rsidR="00975BFE" w:rsidRDefault="00E87427">
      <w:pPr>
        <w:pStyle w:val="Body"/>
      </w:pPr>
      <w:r>
        <w:t>The Experienced Practitioner ro</w:t>
      </w:r>
      <w:r>
        <w:t xml:space="preserve">ute to Chartership was piloted in November 2016, and will be soft-launched during 2017, with the aim of it being a fully working route by 2018. </w:t>
      </w:r>
      <w:r w:rsidR="00975BFE">
        <w:t xml:space="preserve">This route is for individuals who have 10 or more years’ relevant experience within a landscape discipline, and is designed to guide as wide and diverse a range of landscape professionals </w:t>
      </w:r>
      <w:r w:rsidR="00975BFE">
        <w:t>as possible</w:t>
      </w:r>
      <w:r w:rsidR="00975BFE">
        <w:t xml:space="preserve"> towards Chartership.</w:t>
      </w:r>
    </w:p>
    <w:p w:rsidR="00975BFE" w:rsidRDefault="00975BFE">
      <w:pPr>
        <w:pStyle w:val="Body"/>
      </w:pPr>
    </w:p>
    <w:p w:rsidR="00806C72" w:rsidRDefault="00E87427">
      <w:pPr>
        <w:pStyle w:val="Body"/>
      </w:pPr>
      <w:r>
        <w:t xml:space="preserve">The current Member Panel, consisting of two FLI and </w:t>
      </w:r>
      <w:r>
        <w:t>one</w:t>
      </w:r>
      <w:r>
        <w:t xml:space="preserve"> CMLI, therefore needs to be expanded, in order to a</w:t>
      </w:r>
      <w:r>
        <w:t xml:space="preserve">ccommodate the anticipated increase in applications. The Chartership Assessment Panel requires at least </w:t>
      </w:r>
      <w:r w:rsidRPr="00F631D7">
        <w:t xml:space="preserve">another </w:t>
      </w:r>
      <w:r w:rsidRPr="004D0936">
        <w:rPr>
          <w:rPrChange w:id="0" w:author="Alice Knight" w:date="2017-05-09T15:49:00Z">
            <w:rPr>
              <w:shd w:val="clear" w:color="auto" w:fill="FFFF00"/>
            </w:rPr>
          </w:rPrChange>
        </w:rPr>
        <w:t>s</w:t>
      </w:r>
      <w:r w:rsidRPr="004D0936">
        <w:rPr>
          <w:color w:val="auto"/>
          <w:rPrChange w:id="1" w:author="Alice Knight" w:date="2017-05-09T15:49:00Z">
            <w:rPr>
              <w:shd w:val="clear" w:color="auto" w:fill="FFFF00"/>
            </w:rPr>
          </w:rPrChange>
        </w:rPr>
        <w:t>ix</w:t>
      </w:r>
      <w:r w:rsidRPr="004D0936">
        <w:rPr>
          <w:rPrChange w:id="2" w:author="Alice Knight" w:date="2017-05-09T15:49:00Z">
            <w:rPr/>
          </w:rPrChange>
        </w:rPr>
        <w:t xml:space="preserve"> members</w:t>
      </w:r>
      <w:r>
        <w:t xml:space="preserve"> to be recruited and trained during 2017.</w:t>
      </w:r>
    </w:p>
    <w:p w:rsidR="00806C72" w:rsidRDefault="00806C72">
      <w:pPr>
        <w:pStyle w:val="Body"/>
      </w:pPr>
    </w:p>
    <w:p w:rsidR="00806C72" w:rsidRPr="00DF609E" w:rsidRDefault="00E87427">
      <w:pPr>
        <w:pStyle w:val="Body"/>
        <w:rPr>
          <w:lang w:val="en-GB"/>
          <w:rPrChange w:id="3" w:author="Alice Knight" w:date="2017-05-09T14:22:00Z">
            <w:rPr/>
          </w:rPrChange>
        </w:rPr>
      </w:pPr>
      <w:r>
        <w:t>The Chartership Assessment Panel:</w:t>
      </w:r>
    </w:p>
    <w:p w:rsidR="00806C72" w:rsidRDefault="00E87427">
      <w:pPr>
        <w:pStyle w:val="ListParagraph"/>
        <w:numPr>
          <w:ilvl w:val="0"/>
          <w:numId w:val="2"/>
        </w:numPr>
      </w:pPr>
      <w:r>
        <w:t>Considers applications for Chartered membership of the L</w:t>
      </w:r>
      <w:r>
        <w:t>I, made through:</w:t>
      </w:r>
    </w:p>
    <w:p w:rsidR="00806C72" w:rsidRDefault="00E87427">
      <w:pPr>
        <w:pStyle w:val="ListParagraph"/>
        <w:numPr>
          <w:ilvl w:val="1"/>
          <w:numId w:val="2"/>
        </w:numPr>
      </w:pPr>
      <w:r>
        <w:t>Experienced Practitioner Route</w:t>
      </w:r>
      <w:r>
        <w:t xml:space="preserve"> (and suitability for the </w:t>
      </w:r>
      <w:r w:rsidR="004D0936">
        <w:t>p</w:t>
      </w:r>
      <w:r>
        <w:t xml:space="preserve">rofessional </w:t>
      </w:r>
      <w:r w:rsidR="004D0936">
        <w:t>i</w:t>
      </w:r>
      <w:r>
        <w:t>nterview)</w:t>
      </w:r>
    </w:p>
    <w:p w:rsidR="00806C72" w:rsidRDefault="00E87427">
      <w:pPr>
        <w:pStyle w:val="ListParagraph"/>
        <w:numPr>
          <w:ilvl w:val="1"/>
          <w:numId w:val="2"/>
        </w:numPr>
      </w:pPr>
      <w:r>
        <w:t>Fully qualified professional in another country</w:t>
      </w:r>
    </w:p>
    <w:p w:rsidR="00806C72" w:rsidRDefault="00E87427">
      <w:pPr>
        <w:pStyle w:val="ListParagraph"/>
        <w:numPr>
          <w:ilvl w:val="0"/>
          <w:numId w:val="2"/>
        </w:numPr>
      </w:pPr>
      <w:r>
        <w:t>Considers applications from all areas of specialism within the LI, as well as applications from other allied pr</w:t>
      </w:r>
      <w:r>
        <w:t>ofessions, and other related interest groups</w:t>
      </w:r>
    </w:p>
    <w:p w:rsidR="00806C72" w:rsidRDefault="00E87427">
      <w:pPr>
        <w:pStyle w:val="ListParagraph"/>
        <w:numPr>
          <w:ilvl w:val="0"/>
          <w:numId w:val="2"/>
        </w:numPr>
      </w:pPr>
      <w:r>
        <w:t>Assesses each application against the criteria for Chartership (contained in the Chartership syllabus), based on the applicant’s education and professional history, and their practical experience relating to the</w:t>
      </w:r>
      <w:r>
        <w:t xml:space="preserve"> Chartership criteria.</w:t>
      </w:r>
    </w:p>
    <w:p w:rsidR="00806C72" w:rsidRDefault="00806C72">
      <w:pPr>
        <w:pStyle w:val="Body"/>
      </w:pPr>
    </w:p>
    <w:p w:rsidR="00806C72" w:rsidRDefault="00E87427">
      <w:pPr>
        <w:pStyle w:val="Body"/>
      </w:pPr>
      <w:r>
        <w:t xml:space="preserve">Members of CAP will be required to assess applications for the Experienced Practitioner route to Chartership twice a year, in January and July, </w:t>
      </w:r>
      <w:r w:rsidR="006039B2">
        <w:t xml:space="preserve">for successful applicants to attend </w:t>
      </w:r>
      <w:r>
        <w:t>the May and November exam sessions. Assessment of internationally-qualified pro</w:t>
      </w:r>
      <w:r>
        <w:t xml:space="preserve">fessionals will happen on a monthly basis, but may be less frequent depending on number of applicants. Each application will be </w:t>
      </w:r>
      <w:r w:rsidRPr="004D0936">
        <w:t>assessed by three</w:t>
      </w:r>
      <w:r>
        <w:t xml:space="preserve"> CAP members, which can be done electronically. CAP will meet once a year to discuss the overall standard of ap</w:t>
      </w:r>
      <w:r>
        <w:t>plications, review the make-up and purpose of the Panel, and report back to EMC.</w:t>
      </w:r>
    </w:p>
    <w:p w:rsidR="00806C72" w:rsidRDefault="00806C72">
      <w:pPr>
        <w:pStyle w:val="Body"/>
      </w:pPr>
    </w:p>
    <w:p w:rsidR="00806C72" w:rsidRDefault="004D0936">
      <w:pPr>
        <w:pStyle w:val="Body"/>
        <w:rPr>
          <w:b/>
          <w:bCs/>
        </w:rPr>
      </w:pPr>
      <w:r>
        <w:rPr>
          <w:b/>
          <w:bCs/>
          <w:lang w:val="fr-FR"/>
        </w:rPr>
        <w:t>Application process</w:t>
      </w:r>
    </w:p>
    <w:p w:rsidR="00806C72" w:rsidRDefault="00E87427">
      <w:pPr>
        <w:pStyle w:val="Body"/>
      </w:pPr>
      <w:r>
        <w:t xml:space="preserve">Members interested in joining CAP should complete the attached application form, and return it to Alice Knight on </w:t>
      </w:r>
      <w:hyperlink r:id="rId7" w:history="1">
        <w:r>
          <w:rPr>
            <w:rStyle w:val="Hyperlink0"/>
          </w:rPr>
          <w:t>alice.knight@landscapeinstitute.org</w:t>
        </w:r>
      </w:hyperlink>
      <w:r>
        <w:t xml:space="preserve"> by </w:t>
      </w:r>
      <w:r>
        <w:rPr>
          <w:b/>
          <w:bCs/>
        </w:rPr>
        <w:t>1 June</w:t>
      </w:r>
      <w:r>
        <w:t>. Applications will be considered by EMC, and applicants will be informed of the decision by 19 June. Training will then be provided</w:t>
      </w:r>
      <w:r>
        <w:t>.</w:t>
      </w:r>
    </w:p>
    <w:p w:rsidR="00806C72" w:rsidRDefault="00806C72">
      <w:pPr>
        <w:pStyle w:val="Body"/>
        <w:rPr>
          <w:b/>
          <w:bCs/>
        </w:rPr>
      </w:pPr>
    </w:p>
    <w:p w:rsidR="00806C72" w:rsidRDefault="00E87427">
      <w:pPr>
        <w:pStyle w:val="Body"/>
        <w:rPr>
          <w:b/>
          <w:bCs/>
        </w:rPr>
      </w:pPr>
      <w:r>
        <w:rPr>
          <w:b/>
          <w:bCs/>
        </w:rPr>
        <w:t>Essential experience, qualifications and attributes</w:t>
      </w:r>
    </w:p>
    <w:p w:rsidR="00806C72" w:rsidRDefault="00E87427">
      <w:pPr>
        <w:pStyle w:val="ListParagraph"/>
        <w:widowControl/>
        <w:numPr>
          <w:ilvl w:val="0"/>
          <w:numId w:val="4"/>
        </w:numPr>
      </w:pPr>
      <w:r>
        <w:t>Chartered status for at least 5 years.</w:t>
      </w:r>
    </w:p>
    <w:p w:rsidR="00806C72" w:rsidRDefault="00E87427">
      <w:pPr>
        <w:pStyle w:val="ListParagraph"/>
        <w:widowControl/>
        <w:numPr>
          <w:ilvl w:val="0"/>
          <w:numId w:val="4"/>
        </w:numPr>
      </w:pPr>
      <w:r>
        <w:t>Experience of assessing information against set criteria.</w:t>
      </w:r>
    </w:p>
    <w:p w:rsidR="00806C72" w:rsidRDefault="00E87427">
      <w:pPr>
        <w:pStyle w:val="ListParagraph"/>
        <w:widowControl/>
        <w:numPr>
          <w:ilvl w:val="0"/>
          <w:numId w:val="4"/>
        </w:numPr>
      </w:pPr>
      <w:r>
        <w:t>Excellent written communication skills.</w:t>
      </w:r>
      <w:r>
        <w:br/>
      </w:r>
    </w:p>
    <w:p w:rsidR="00806C72" w:rsidRDefault="00E87427">
      <w:pPr>
        <w:pStyle w:val="Body"/>
        <w:widowControl/>
        <w:numPr>
          <w:ilvl w:val="0"/>
          <w:numId w:val="4"/>
        </w:numPr>
      </w:pPr>
      <w:r>
        <w:t>Ability to work with other assessors to ensure each applicant receives a fair and consistent assessment of their knowl</w:t>
      </w:r>
      <w:r>
        <w:t>edge and understanding.</w:t>
      </w:r>
    </w:p>
    <w:p w:rsidR="00806C72" w:rsidRDefault="00E87427">
      <w:pPr>
        <w:pStyle w:val="Body"/>
        <w:widowControl/>
        <w:numPr>
          <w:ilvl w:val="0"/>
          <w:numId w:val="4"/>
        </w:numPr>
      </w:pPr>
      <w:r>
        <w:t>Ability to maintain confidentiality of applicants in accordance with guidelines provided by the LI.</w:t>
      </w:r>
    </w:p>
    <w:p w:rsidR="00806C72" w:rsidRDefault="00E87427">
      <w:pPr>
        <w:pStyle w:val="Body"/>
        <w:widowControl/>
        <w:numPr>
          <w:ilvl w:val="0"/>
          <w:numId w:val="4"/>
        </w:numPr>
      </w:pPr>
      <w:r>
        <w:t>Time management skills to decide on applications within agreed timeframe.</w:t>
      </w:r>
    </w:p>
    <w:p w:rsidR="00806C72" w:rsidRDefault="00E87427">
      <w:pPr>
        <w:pStyle w:val="Body"/>
        <w:widowControl/>
        <w:numPr>
          <w:ilvl w:val="0"/>
          <w:numId w:val="4"/>
        </w:numPr>
      </w:pPr>
      <w:r>
        <w:t>Willingness to contribute to the ongoing development of</w:t>
      </w:r>
      <w:r>
        <w:t xml:space="preserve"> the routes to Chartership through constructive feedback and input as requested.</w:t>
      </w:r>
    </w:p>
    <w:p w:rsidR="00806C72" w:rsidRDefault="00E87427">
      <w:pPr>
        <w:pStyle w:val="ListParagraph"/>
        <w:widowControl/>
        <w:numPr>
          <w:ilvl w:val="0"/>
          <w:numId w:val="4"/>
        </w:numPr>
      </w:pPr>
      <w:r>
        <w:t>General knowledge of all Chartership criteria, and capacity to proactively ensure this knowledge remains up to date.</w:t>
      </w:r>
    </w:p>
    <w:p w:rsidR="00806C72" w:rsidRDefault="00806C72">
      <w:pPr>
        <w:pStyle w:val="Body"/>
        <w:widowControl/>
      </w:pPr>
    </w:p>
    <w:p w:rsidR="00806C72" w:rsidRDefault="00E87427">
      <w:pPr>
        <w:pStyle w:val="Body"/>
        <w:widowControl/>
        <w:rPr>
          <w:b/>
          <w:bCs/>
        </w:rPr>
      </w:pPr>
      <w:r>
        <w:rPr>
          <w:b/>
          <w:bCs/>
        </w:rPr>
        <w:t>Desirable experience and attributes:</w:t>
      </w:r>
    </w:p>
    <w:p w:rsidR="00806C72" w:rsidRDefault="00E87427">
      <w:pPr>
        <w:pStyle w:val="ListParagraph"/>
        <w:widowControl/>
        <w:numPr>
          <w:ilvl w:val="0"/>
          <w:numId w:val="4"/>
        </w:numPr>
      </w:pPr>
      <w:r>
        <w:lastRenderedPageBreak/>
        <w:t>Previous and current</w:t>
      </w:r>
      <w:r>
        <w:t xml:space="preserve"> involvement with the Pathway to Chartership as a supervisor and/or examiner</w:t>
      </w:r>
    </w:p>
    <w:p w:rsidR="00E31F72" w:rsidRPr="00E31F72" w:rsidRDefault="00E87427" w:rsidP="00E31F72">
      <w:pPr>
        <w:pStyle w:val="ListParagraph"/>
        <w:widowControl/>
        <w:numPr>
          <w:ilvl w:val="0"/>
          <w:numId w:val="4"/>
        </w:numPr>
        <w:rPr>
          <w:b/>
          <w:bCs/>
        </w:rPr>
      </w:pPr>
      <w:r>
        <w:t>Willingness to act as an ambassador for Chartership and the LI.</w:t>
      </w:r>
    </w:p>
    <w:p w:rsidR="00E31F72" w:rsidRDefault="00E31F72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n-US"/>
        </w:rPr>
      </w:pPr>
      <w:r>
        <w:br w:type="page"/>
      </w:r>
    </w:p>
    <w:p w:rsidR="00E31F72" w:rsidRDefault="00E31F72" w:rsidP="00E31F72">
      <w:pPr>
        <w:pStyle w:val="ListParagraph"/>
        <w:widowControl/>
        <w:ind w:left="270"/>
        <w:rPr>
          <w:b/>
          <w:bCs/>
        </w:rPr>
      </w:pPr>
      <w:r w:rsidRPr="00E31F72">
        <w:rPr>
          <w:b/>
          <w:bCs/>
        </w:rPr>
        <w:t>Member Panel (Chartership Assessment Panel) application form</w:t>
      </w:r>
    </w:p>
    <w:p w:rsidR="00E31F72" w:rsidRPr="00E31F72" w:rsidRDefault="00E31F72" w:rsidP="00E31F72">
      <w:pPr>
        <w:pStyle w:val="ListParagraph"/>
        <w:widowControl/>
        <w:ind w:left="709"/>
        <w:rPr>
          <w:b/>
          <w:bCs/>
        </w:rPr>
      </w:pPr>
    </w:p>
    <w:p w:rsidR="00E31F72" w:rsidRDefault="00E31F72" w:rsidP="00E31F72">
      <w:pPr>
        <w:pStyle w:val="Body"/>
        <w:ind w:left="284"/>
      </w:pPr>
      <w:r>
        <w:t xml:space="preserve">Please complete this form and send it </w:t>
      </w:r>
      <w:r>
        <w:rPr>
          <w:b/>
          <w:bCs/>
        </w:rPr>
        <w:t>with your CV</w:t>
      </w:r>
      <w:r>
        <w:t xml:space="preserve"> to </w:t>
      </w:r>
      <w:hyperlink r:id="rId8" w:history="1">
        <w:r>
          <w:rPr>
            <w:rStyle w:val="Hyperlink0"/>
          </w:rPr>
          <w:t>alice.knight@landscapeinstitute.org</w:t>
        </w:r>
      </w:hyperlink>
      <w:r>
        <w:t xml:space="preserve"> Alice can also be contacted for informal discussions about the role.</w:t>
      </w:r>
    </w:p>
    <w:p w:rsidR="00E31F72" w:rsidRDefault="00E31F72" w:rsidP="00E31F72">
      <w:pPr>
        <w:pStyle w:val="Body"/>
        <w:ind w:left="284"/>
      </w:pPr>
    </w:p>
    <w:p w:rsidR="00806C72" w:rsidRPr="00845C85" w:rsidRDefault="00E31F72" w:rsidP="00845C85">
      <w:pPr>
        <w:pStyle w:val="Body"/>
        <w:ind w:left="284"/>
      </w:pPr>
      <w:r>
        <w:t>You can continue onto another sheet if needed (maximum 2 sheets).</w:t>
      </w:r>
    </w:p>
    <w:tbl>
      <w:tblPr>
        <w:tblpPr w:leftFromText="187" w:rightFromText="187" w:vertAnchor="text" w:horzAnchor="margin" w:tblpXSpec="center" w:tblpY="-1439"/>
        <w:tblW w:w="107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3373"/>
        <w:gridCol w:w="875"/>
        <w:gridCol w:w="2255"/>
        <w:gridCol w:w="301"/>
        <w:gridCol w:w="2380"/>
      </w:tblGrid>
      <w:tr w:rsidR="00E31F72" w:rsidTr="00E31F7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Name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Membership number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/>
        </w:tc>
      </w:tr>
      <w:tr w:rsidR="00E31F72" w:rsidTr="00E31F7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Daytime phone</w:t>
            </w:r>
          </w:p>
        </w:tc>
        <w:tc>
          <w:tcPr>
            <w:tcW w:w="9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/>
        </w:tc>
      </w:tr>
      <w:tr w:rsidR="00E31F72" w:rsidTr="00E31F7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Email</w:t>
            </w:r>
          </w:p>
        </w:tc>
        <w:tc>
          <w:tcPr>
            <w:tcW w:w="9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/>
        </w:tc>
      </w:tr>
      <w:tr w:rsidR="00E31F72" w:rsidTr="00E31F72"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Please indicate how you have kept your knowledge of Section A of the syllabus up to date since you became Chartered.</w:t>
            </w:r>
          </w:p>
        </w:tc>
      </w:tr>
      <w:tr w:rsidR="00E31F72" w:rsidTr="00E31F72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</w:pPr>
            <w:r>
              <w:rPr>
                <w:i/>
                <w:iCs/>
              </w:rPr>
              <w:t>Section A of the old syllabus covered: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Professional conduct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Professional duties and liabilities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Professional appointment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Professional relationships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Practice management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</w:pPr>
            <w:r>
              <w:rPr>
                <w:b/>
                <w:bCs/>
              </w:rPr>
              <w:t>This relates to the new syllabus: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Professional judgement, ethics and values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Professional duties and liabilities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Professional appointment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Professional relationships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Practice management</w:t>
            </w:r>
          </w:p>
        </w:tc>
      </w:tr>
      <w:tr w:rsidR="00E31F72" w:rsidTr="00E31F72">
        <w:tc>
          <w:tcPr>
            <w:tcW w:w="107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</w:pPr>
          </w:p>
        </w:tc>
      </w:tr>
      <w:tr w:rsidR="00E31F72" w:rsidTr="00E31F72"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Please indicate how you have kept your knowledge of Section B of the syllabus up to date since you became Chartered.</w:t>
            </w:r>
          </w:p>
        </w:tc>
      </w:tr>
      <w:tr w:rsidR="00E31F72" w:rsidTr="00E31F72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</w:pPr>
            <w:r>
              <w:rPr>
                <w:i/>
                <w:iCs/>
              </w:rPr>
              <w:t>Section B of the old syllabus covered: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i/>
                <w:iCs/>
              </w:rPr>
              <w:t>The Legal System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i/>
                <w:iCs/>
              </w:rPr>
              <w:t>The Planning System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i/>
                <w:iCs/>
              </w:rPr>
              <w:t>Environmental Policies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i/>
                <w:iCs/>
              </w:rPr>
              <w:t>Environmental Control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i/>
                <w:iCs/>
              </w:rPr>
              <w:t>Contract Law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</w:pPr>
            <w:r>
              <w:rPr>
                <w:b/>
                <w:bCs/>
              </w:rPr>
              <w:t>This relates to the new syllabus: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8"/>
              </w:numPr>
            </w:pPr>
            <w:r>
              <w:rPr>
                <w:b/>
                <w:bCs/>
              </w:rPr>
              <w:t>The Legal System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8"/>
              </w:numPr>
            </w:pPr>
            <w:r>
              <w:rPr>
                <w:b/>
                <w:bCs/>
              </w:rPr>
              <w:t>The Planning System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8"/>
              </w:numPr>
            </w:pPr>
            <w:r>
              <w:rPr>
                <w:b/>
                <w:bCs/>
              </w:rPr>
              <w:t>Environmental and Heritage Policy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8"/>
              </w:numPr>
            </w:pPr>
            <w:r>
              <w:rPr>
                <w:b/>
                <w:bCs/>
              </w:rPr>
              <w:t>Environmental Control</w:t>
            </w:r>
          </w:p>
        </w:tc>
      </w:tr>
      <w:tr w:rsidR="00E31F72" w:rsidTr="00E31F72">
        <w:tc>
          <w:tcPr>
            <w:tcW w:w="107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  <w:rPr>
                <w:i/>
                <w:iCs/>
              </w:rPr>
            </w:pPr>
          </w:p>
          <w:p w:rsidR="00E31F72" w:rsidRDefault="00E31F72" w:rsidP="00E31F72">
            <w:pPr>
              <w:pStyle w:val="Body"/>
            </w:pPr>
          </w:p>
        </w:tc>
      </w:tr>
      <w:tr w:rsidR="00E31F72" w:rsidTr="00E31F72"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Please indicate how you have kept your knowledge of Section C of the syllabus up to date since you became Chartered.</w:t>
            </w:r>
          </w:p>
        </w:tc>
      </w:tr>
      <w:tr w:rsidR="00E31F72" w:rsidTr="00E31F72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</w:pPr>
            <w:r>
              <w:rPr>
                <w:i/>
                <w:iCs/>
              </w:rPr>
              <w:t>Section C of the old syllabus covered: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i/>
                <w:iCs/>
              </w:rPr>
              <w:t>Contracts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i/>
                <w:iCs/>
              </w:rPr>
              <w:t>Pre-Contract and Tendering Procedures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9"/>
              </w:numPr>
            </w:pPr>
            <w:r>
              <w:rPr>
                <w:i/>
                <w:iCs/>
              </w:rPr>
              <w:t>Contract Administration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</w:pPr>
            <w:r>
              <w:rPr>
                <w:b/>
                <w:bCs/>
              </w:rPr>
              <w:t>This relates to the new syllabus: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Contracts and contract law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Pre-contract and tendering procedures</w:t>
            </w:r>
          </w:p>
          <w:p w:rsidR="00E31F72" w:rsidRDefault="00E31F72" w:rsidP="00E31F72">
            <w:pPr>
              <w:pStyle w:val="Body"/>
              <w:widowControl/>
              <w:numPr>
                <w:ilvl w:val="0"/>
                <w:numId w:val="10"/>
              </w:numPr>
            </w:pPr>
            <w:r>
              <w:rPr>
                <w:b/>
                <w:bCs/>
              </w:rPr>
              <w:t>Contract administration</w:t>
            </w:r>
          </w:p>
        </w:tc>
      </w:tr>
      <w:tr w:rsidR="00E31F72" w:rsidTr="00E31F72">
        <w:tc>
          <w:tcPr>
            <w:tcW w:w="107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</w:tc>
      </w:tr>
      <w:tr w:rsidR="00E31F72" w:rsidTr="00E31F72">
        <w:tc>
          <w:tcPr>
            <w:tcW w:w="107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t>Please indicate, with examples, your experience of assessing written applications against criteria</w:t>
            </w:r>
          </w:p>
        </w:tc>
      </w:tr>
      <w:tr w:rsidR="00E31F72" w:rsidTr="00E31F72">
        <w:tc>
          <w:tcPr>
            <w:tcW w:w="107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  <w:p w:rsidR="00E31F72" w:rsidRDefault="00E31F72" w:rsidP="00E31F72">
            <w:pPr>
              <w:pStyle w:val="Body"/>
              <w:spacing w:before="80"/>
            </w:pPr>
          </w:p>
        </w:tc>
      </w:tr>
      <w:tr w:rsidR="00E31F72" w:rsidTr="00E31F72"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F72" w:rsidRDefault="00E31F72" w:rsidP="00E31F72">
            <w:pPr>
              <w:pStyle w:val="Body"/>
              <w:spacing w:before="80"/>
            </w:pPr>
            <w:r>
              <w:rPr>
                <w:b/>
                <w:bCs/>
              </w:rPr>
              <w:t>Date:</w:t>
            </w:r>
          </w:p>
        </w:tc>
      </w:tr>
    </w:tbl>
    <w:p w:rsidR="00806C72" w:rsidRDefault="00806C72">
      <w:pPr>
        <w:pStyle w:val="Body"/>
        <w:spacing w:before="80"/>
      </w:pPr>
    </w:p>
    <w:p w:rsidR="00806C72" w:rsidRDefault="00806C72">
      <w:pPr>
        <w:pStyle w:val="Body"/>
        <w:spacing w:before="80"/>
      </w:pPr>
    </w:p>
    <w:p w:rsidR="00806C72" w:rsidRDefault="00806C72">
      <w:pPr>
        <w:pStyle w:val="Body"/>
        <w:spacing w:before="80"/>
      </w:pPr>
    </w:p>
    <w:p w:rsidR="00806C72" w:rsidRDefault="00806C72">
      <w:pPr>
        <w:pStyle w:val="Body"/>
      </w:pPr>
      <w:bookmarkStart w:id="4" w:name="_GoBack"/>
      <w:bookmarkEnd w:id="4"/>
    </w:p>
    <w:sectPr w:rsidR="00806C72" w:rsidSect="00F631D7">
      <w:headerReference w:type="default" r:id="rId9"/>
      <w:footerReference w:type="default" r:id="rId10"/>
      <w:pgSz w:w="11900" w:h="16840"/>
      <w:pgMar w:top="1440" w:right="1440" w:bottom="1440" w:left="1440" w:header="91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7427">
      <w:r>
        <w:separator/>
      </w:r>
    </w:p>
  </w:endnote>
  <w:endnote w:type="continuationSeparator" w:id="0">
    <w:p w:rsidR="00000000" w:rsidRDefault="00E8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72" w:rsidRDefault="00806C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7427">
      <w:r>
        <w:separator/>
      </w:r>
    </w:p>
  </w:footnote>
  <w:footnote w:type="continuationSeparator" w:id="0">
    <w:p w:rsidR="00000000" w:rsidRDefault="00E8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72" w:rsidRDefault="00806C7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F55"/>
    <w:multiLevelType w:val="hybridMultilevel"/>
    <w:tmpl w:val="7BF4B276"/>
    <w:lvl w:ilvl="0" w:tplc="070A52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94D5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8D7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E5A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ABC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EA7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EE6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457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054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101FA2"/>
    <w:multiLevelType w:val="hybridMultilevel"/>
    <w:tmpl w:val="67E8CB1E"/>
    <w:styleLink w:val="ImportedStyle1"/>
    <w:lvl w:ilvl="0" w:tplc="BC0EEE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C0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481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6F75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AE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41A2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0920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C5E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68C1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463930"/>
    <w:multiLevelType w:val="hybridMultilevel"/>
    <w:tmpl w:val="D20E04BC"/>
    <w:numStyleLink w:val="ImportedStyle2"/>
  </w:abstractNum>
  <w:abstractNum w:abstractNumId="3" w15:restartNumberingAfterBreak="0">
    <w:nsid w:val="269141F0"/>
    <w:multiLevelType w:val="hybridMultilevel"/>
    <w:tmpl w:val="BA54C42A"/>
    <w:lvl w:ilvl="0" w:tplc="2C6220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AC5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45C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4C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4A1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CD0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4286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68B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EA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D419B3"/>
    <w:multiLevelType w:val="hybridMultilevel"/>
    <w:tmpl w:val="26A2919E"/>
    <w:lvl w:ilvl="0" w:tplc="E1DC73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AFA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E3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C13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A9F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5CA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E12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27D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4E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8195C"/>
    <w:multiLevelType w:val="hybridMultilevel"/>
    <w:tmpl w:val="0F04783C"/>
    <w:lvl w:ilvl="0" w:tplc="07AA84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A2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0F3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7F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475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007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C9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005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A058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C219B9"/>
    <w:multiLevelType w:val="hybridMultilevel"/>
    <w:tmpl w:val="67E8CB1E"/>
    <w:numStyleLink w:val="ImportedStyle1"/>
  </w:abstractNum>
  <w:abstractNum w:abstractNumId="7" w15:restartNumberingAfterBreak="0">
    <w:nsid w:val="585F70A1"/>
    <w:multiLevelType w:val="hybridMultilevel"/>
    <w:tmpl w:val="536853FA"/>
    <w:lvl w:ilvl="0" w:tplc="FF3E94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E3D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625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02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4B0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CF6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019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4D5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CC6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5E11B9"/>
    <w:multiLevelType w:val="hybridMultilevel"/>
    <w:tmpl w:val="1B062282"/>
    <w:lvl w:ilvl="0" w:tplc="2BCA63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41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BE67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C43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F20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E8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60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6F0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40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4B34EB"/>
    <w:multiLevelType w:val="hybridMultilevel"/>
    <w:tmpl w:val="D20E04BC"/>
    <w:styleLink w:val="ImportedStyle2"/>
    <w:lvl w:ilvl="0" w:tplc="F6EED47E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42AF0">
      <w:start w:val="1"/>
      <w:numFmt w:val="bullet"/>
      <w:lvlText w:val="o"/>
      <w:lvlJc w:val="left"/>
      <w:pPr>
        <w:ind w:left="7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A42DC">
      <w:start w:val="1"/>
      <w:numFmt w:val="bullet"/>
      <w:lvlText w:val="▪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66B2A">
      <w:start w:val="1"/>
      <w:numFmt w:val="bullet"/>
      <w:lvlText w:val="·"/>
      <w:lvlJc w:val="left"/>
      <w:pPr>
        <w:ind w:left="214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C309A">
      <w:start w:val="1"/>
      <w:numFmt w:val="bullet"/>
      <w:lvlText w:val="o"/>
      <w:lvlJc w:val="left"/>
      <w:pPr>
        <w:ind w:left="28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8136E">
      <w:start w:val="1"/>
      <w:numFmt w:val="bullet"/>
      <w:lvlText w:val="▪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81854">
      <w:start w:val="1"/>
      <w:numFmt w:val="bullet"/>
      <w:lvlText w:val="·"/>
      <w:lvlJc w:val="left"/>
      <w:pPr>
        <w:ind w:left="43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4CC76">
      <w:start w:val="1"/>
      <w:numFmt w:val="bullet"/>
      <w:lvlText w:val="o"/>
      <w:lvlJc w:val="left"/>
      <w:pPr>
        <w:ind w:left="50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CA30A">
      <w:start w:val="1"/>
      <w:numFmt w:val="bullet"/>
      <w:lvlText w:val="▪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e Knight">
    <w15:presenceInfo w15:providerId="None" w15:userId="Alice Kn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72"/>
    <w:rsid w:val="004D0936"/>
    <w:rsid w:val="006039B2"/>
    <w:rsid w:val="00806C72"/>
    <w:rsid w:val="00845C85"/>
    <w:rsid w:val="00975BFE"/>
    <w:rsid w:val="00DF609E"/>
    <w:rsid w:val="00E31F72"/>
    <w:rsid w:val="00E87427"/>
    <w:rsid w:val="00F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98BA"/>
  <w15:docId w15:val="{05BAA585-6CBA-4719-8B65-AC89B0F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widowControl w:val="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5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knight@landscapeinstitu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ce.knight@landscapeinstitute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Knight</dc:creator>
  <cp:lastModifiedBy>Alice Knight</cp:lastModifiedBy>
  <cp:revision>4</cp:revision>
  <dcterms:created xsi:type="dcterms:W3CDTF">2017-05-09T14:53:00Z</dcterms:created>
  <dcterms:modified xsi:type="dcterms:W3CDTF">2017-05-09T15:24:00Z</dcterms:modified>
</cp:coreProperties>
</file>